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B7BA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2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1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февраля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9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FA638B"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3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027, 225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Default="00523ACA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B54151" w:rsidRPr="008B2021" w:rsidRDefault="00B54151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DF5CD9" w:rsidRPr="00DF5CD9" w:rsidRDefault="00DF5CD9" w:rsidP="00DF5CD9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DF5CD9">
        <w:rPr>
          <w:rFonts w:asciiTheme="minorHAnsi" w:hAnsiTheme="minorHAnsi"/>
          <w:sz w:val="26"/>
          <w:szCs w:val="26"/>
          <w:lang w:val="ru-RU"/>
        </w:rPr>
        <w:t>1. Основные идеологические течения в российском обществе.</w:t>
      </w:r>
    </w:p>
    <w:p w:rsidR="00DF5CD9" w:rsidRPr="00DF5CD9" w:rsidRDefault="00DF5CD9" w:rsidP="00DF5CD9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DF5CD9">
        <w:rPr>
          <w:rFonts w:asciiTheme="minorHAnsi" w:hAnsiTheme="minorHAnsi"/>
          <w:sz w:val="26"/>
          <w:szCs w:val="26"/>
          <w:lang w:val="ru-RU"/>
        </w:rPr>
        <w:t xml:space="preserve">2. </w:t>
      </w:r>
      <w:proofErr w:type="gramStart"/>
      <w:r w:rsidRPr="00DF5CD9">
        <w:rPr>
          <w:rFonts w:asciiTheme="minorHAnsi" w:hAnsiTheme="minorHAnsi"/>
          <w:sz w:val="26"/>
          <w:szCs w:val="26"/>
          <w:lang w:val="ru-RU"/>
        </w:rPr>
        <w:t>Какая</w:t>
      </w:r>
      <w:proofErr w:type="gramEnd"/>
      <w:r w:rsidRPr="00DF5CD9">
        <w:rPr>
          <w:rFonts w:asciiTheme="minorHAnsi" w:hAnsiTheme="minorHAnsi"/>
          <w:sz w:val="26"/>
          <w:szCs w:val="26"/>
          <w:lang w:val="ru-RU"/>
        </w:rPr>
        <w:t xml:space="preserve"> из </w:t>
      </w:r>
      <w:proofErr w:type="spellStart"/>
      <w:r w:rsidRPr="00DF5CD9">
        <w:rPr>
          <w:rFonts w:asciiTheme="minorHAnsi" w:hAnsiTheme="minorHAnsi"/>
          <w:sz w:val="26"/>
          <w:szCs w:val="26"/>
          <w:lang w:val="ru-RU"/>
        </w:rPr>
        <w:t>идеологем</w:t>
      </w:r>
      <w:proofErr w:type="spellEnd"/>
      <w:r w:rsidRPr="00DF5CD9">
        <w:rPr>
          <w:rFonts w:asciiTheme="minorHAnsi" w:hAnsiTheme="minorHAnsi"/>
          <w:sz w:val="26"/>
          <w:szCs w:val="26"/>
          <w:lang w:val="ru-RU"/>
        </w:rPr>
        <w:t xml:space="preserve"> сегодня наиболее близка к статусу официальной идеологии в России?</w:t>
      </w:r>
    </w:p>
    <w:p w:rsidR="00B54151" w:rsidRDefault="00DF5CD9" w:rsidP="00DF5CD9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DF5CD9">
        <w:rPr>
          <w:rFonts w:asciiTheme="minorHAnsi" w:hAnsiTheme="minorHAnsi"/>
          <w:sz w:val="26"/>
          <w:szCs w:val="26"/>
          <w:lang w:val="ru-RU"/>
        </w:rPr>
        <w:t>3. Нуждается ли российская власть в том, чтобы ее действия во внешней и внутренней политике соотносили с определенной идеологией?</w:t>
      </w:r>
    </w:p>
    <w:p w:rsidR="00E44EDA" w:rsidRDefault="00E44EDA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b/>
          <w:sz w:val="26"/>
          <w:szCs w:val="26"/>
          <w:lang w:val="ru-RU"/>
        </w:rPr>
      </w:pPr>
    </w:p>
    <w:p w:rsidR="00175FF8" w:rsidRPr="00B54151" w:rsidRDefault="00523ACA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54151">
        <w:rPr>
          <w:rFonts w:asciiTheme="minorHAnsi" w:hAnsiTheme="minorHAnsi"/>
          <w:sz w:val="26"/>
          <w:szCs w:val="26"/>
          <w:u w:val="single"/>
          <w:lang w:val="ru-RU"/>
        </w:rPr>
        <w:t>Докладчики и темы выступлений:</w:t>
      </w:r>
    </w:p>
    <w:p w:rsidR="00B54151" w:rsidRPr="008B2021" w:rsidRDefault="00B54151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sz w:val="26"/>
          <w:szCs w:val="26"/>
          <w:lang w:val="ru-RU"/>
        </w:rPr>
        <w:t xml:space="preserve">1. Мазин Александр Леонидович – доктор экономических наук, профессор кафедры экономической теории </w:t>
      </w:r>
      <w:proofErr w:type="spellStart"/>
      <w:r w:rsidRPr="00DF5CD9">
        <w:rPr>
          <w:rFonts w:asciiTheme="minorHAnsi" w:eastAsiaTheme="minorHAnsi" w:hAnsiTheme="minorHAnsi" w:cstheme="minorBidi"/>
          <w:sz w:val="26"/>
          <w:szCs w:val="26"/>
          <w:lang w:val="ru-RU"/>
        </w:rPr>
        <w:t>РАНХиГС</w:t>
      </w:r>
      <w:proofErr w:type="spellEnd"/>
      <w:r w:rsidRPr="00DF5CD9">
        <w:rPr>
          <w:rFonts w:asciiTheme="minorHAnsi" w:eastAsiaTheme="minorHAnsi" w:hAnsiTheme="minorHAnsi" w:cstheme="minorBidi"/>
          <w:sz w:val="26"/>
          <w:szCs w:val="26"/>
          <w:lang w:val="ru-RU"/>
        </w:rPr>
        <w:t xml:space="preserve"> (</w:t>
      </w:r>
      <w:r w:rsidR="00227B9D">
        <w:rPr>
          <w:rFonts w:asciiTheme="minorHAnsi" w:eastAsiaTheme="minorHAnsi" w:hAnsiTheme="minorHAnsi" w:cstheme="minorBidi"/>
          <w:sz w:val="26"/>
          <w:szCs w:val="26"/>
          <w:lang w:val="ru-RU"/>
        </w:rPr>
        <w:t xml:space="preserve">г. </w:t>
      </w:r>
      <w:r w:rsidRPr="00DF5CD9">
        <w:rPr>
          <w:rFonts w:asciiTheme="minorHAnsi" w:eastAsiaTheme="minorHAnsi" w:hAnsiTheme="minorHAnsi" w:cstheme="minorBidi"/>
          <w:sz w:val="26"/>
          <w:szCs w:val="26"/>
          <w:lang w:val="ru-RU"/>
        </w:rPr>
        <w:t>Нижний Новгород)</w:t>
      </w:r>
    </w:p>
    <w:p w:rsid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«Идеология как социальный институт»</w:t>
      </w:r>
    </w:p>
    <w:p w:rsid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227B9D" w:rsidRPr="00DF5CD9" w:rsidRDefault="00227B9D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sz w:val="26"/>
          <w:szCs w:val="26"/>
          <w:lang w:val="ru-RU"/>
        </w:rPr>
        <w:lastRenderedPageBreak/>
        <w:t>2. Теодорович Михаил Леонидович  – доктор социологических наук, кандидат технических наук, руководитель нижегородского Управления федеральной антимонопольной службы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«Идеология как социальное поле и социальный "клей"»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227B9D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sz w:val="26"/>
          <w:szCs w:val="26"/>
          <w:lang w:val="ru-RU"/>
        </w:rPr>
      </w:pPr>
      <w:r w:rsidRPr="00227B9D">
        <w:rPr>
          <w:rFonts w:asciiTheme="minorHAnsi" w:eastAsiaTheme="minorHAnsi" w:hAnsiTheme="minorHAnsi" w:cstheme="minorBidi"/>
          <w:sz w:val="26"/>
          <w:szCs w:val="26"/>
          <w:lang w:val="ru-RU"/>
        </w:rPr>
        <w:t>3. Семенов Евгений Евгеньевич – кандидат политических наук, доцент кафедры философии, социологии и теории социальной коммуникации НГЛУ им. Н.А. Добролюбова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 xml:space="preserve">«Гибридная идеология как форма </w:t>
      </w:r>
      <w:proofErr w:type="spellStart"/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саморефлексии</w:t>
      </w:r>
      <w:proofErr w:type="spellEnd"/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 xml:space="preserve"> гибридных политических режимов»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227B9D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sz w:val="26"/>
          <w:szCs w:val="26"/>
          <w:lang w:val="ru-RU"/>
        </w:rPr>
      </w:pPr>
      <w:r w:rsidRPr="00227B9D">
        <w:rPr>
          <w:rFonts w:asciiTheme="minorHAnsi" w:eastAsiaTheme="minorHAnsi" w:hAnsiTheme="minorHAnsi" w:cstheme="minorBidi"/>
          <w:sz w:val="26"/>
          <w:szCs w:val="26"/>
          <w:lang w:val="ru-RU"/>
        </w:rPr>
        <w:t>4. Кочеров Сергей Николаевич – доктор философских наук, профессор департамента социа</w:t>
      </w:r>
      <w:r w:rsidR="00227B9D">
        <w:rPr>
          <w:rFonts w:asciiTheme="minorHAnsi" w:eastAsiaTheme="minorHAnsi" w:hAnsiTheme="minorHAnsi" w:cstheme="minorBidi"/>
          <w:sz w:val="26"/>
          <w:szCs w:val="26"/>
          <w:lang w:val="ru-RU"/>
        </w:rPr>
        <w:t xml:space="preserve">льно-гуманитарных наук НИУ ВШЭ – </w:t>
      </w:r>
      <w:r w:rsidRPr="00227B9D">
        <w:rPr>
          <w:rFonts w:asciiTheme="minorHAnsi" w:eastAsiaTheme="minorHAnsi" w:hAnsiTheme="minorHAnsi" w:cstheme="minorBidi"/>
          <w:sz w:val="26"/>
          <w:szCs w:val="26"/>
          <w:lang w:val="ru-RU"/>
        </w:rPr>
        <w:t>Н</w:t>
      </w:r>
      <w:r w:rsidR="00227B9D">
        <w:rPr>
          <w:rFonts w:asciiTheme="minorHAnsi" w:eastAsiaTheme="minorHAnsi" w:hAnsiTheme="minorHAnsi" w:cstheme="minorBidi"/>
          <w:sz w:val="26"/>
          <w:szCs w:val="26"/>
          <w:lang w:val="ru-RU"/>
        </w:rPr>
        <w:t>ижний Новгород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«Нужна ли идеология современной российской власти?»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227B9D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sz w:val="26"/>
          <w:szCs w:val="26"/>
          <w:lang w:val="ru-RU"/>
        </w:rPr>
      </w:pPr>
      <w:r w:rsidRPr="00227B9D">
        <w:rPr>
          <w:rFonts w:asciiTheme="minorHAnsi" w:eastAsiaTheme="minorHAnsi" w:hAnsiTheme="minorHAnsi" w:cstheme="minorBidi"/>
          <w:sz w:val="26"/>
          <w:szCs w:val="26"/>
          <w:lang w:val="ru-RU"/>
        </w:rPr>
        <w:t>5. Борисов Сергей Викторович – кандидат философских наук, исполнительный директор Некоммерческого партнёрства «ЭЦ "Мера"»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 xml:space="preserve">«Освобождение от </w:t>
      </w:r>
      <w:proofErr w:type="spellStart"/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идеологофобии</w:t>
      </w:r>
      <w:proofErr w:type="spellEnd"/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 xml:space="preserve"> – задача дня в современной России. Мировой опыт и поиски самобытности»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DF5CD9" w:rsidRPr="00227B9D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sz w:val="26"/>
          <w:szCs w:val="26"/>
          <w:lang w:val="ru-RU"/>
        </w:rPr>
      </w:pPr>
      <w:r w:rsidRPr="00227B9D">
        <w:rPr>
          <w:rFonts w:asciiTheme="minorHAnsi" w:eastAsiaTheme="minorHAnsi" w:hAnsiTheme="minorHAnsi" w:cstheme="minorBidi"/>
          <w:sz w:val="26"/>
          <w:szCs w:val="26"/>
          <w:lang w:val="ru-RU"/>
        </w:rPr>
        <w:t>6. Лысов Виктор Иванович – старший преподаватель, Нижегородский институт управления Российской академии народного хозяйства и государственной службы</w:t>
      </w:r>
    </w:p>
    <w:p w:rsidR="00DF5CD9" w:rsidRPr="00DF5CD9" w:rsidRDefault="00DF5CD9" w:rsidP="00227B9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</w:pPr>
    </w:p>
    <w:p w:rsidR="00E44EDA" w:rsidRPr="00CC4730" w:rsidRDefault="00DF5CD9" w:rsidP="00227B9D">
      <w:pPr>
        <w:tabs>
          <w:tab w:val="left" w:pos="1134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F5CD9">
        <w:rPr>
          <w:rFonts w:asciiTheme="minorHAnsi" w:eastAsiaTheme="minorHAnsi" w:hAnsiTheme="minorHAnsi" w:cstheme="minorBidi"/>
          <w:b/>
          <w:i/>
          <w:sz w:val="26"/>
          <w:szCs w:val="26"/>
          <w:lang w:val="ru-RU"/>
        </w:rPr>
        <w:t>«Популизм как политическая идеология: попытка анамнеза»</w:t>
      </w:r>
    </w:p>
    <w:p w:rsidR="00B54151" w:rsidRDefault="00CC4730" w:rsidP="0003412D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03412D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198755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C4730" w:rsidRPr="007D379D" w:rsidRDefault="007D379D" w:rsidP="00DF5CD9">
      <w:pPr>
        <w:jc w:val="center"/>
        <w:rPr>
          <w:b/>
          <w:sz w:val="32"/>
          <w:szCs w:val="32"/>
          <w:lang w:val="ru-RU"/>
        </w:rPr>
      </w:pPr>
      <w:r w:rsidRPr="007D379D">
        <w:rPr>
          <w:rFonts w:asciiTheme="minorHAnsi" w:hAnsiTheme="minorHAnsi"/>
          <w:b/>
          <w:sz w:val="32"/>
          <w:szCs w:val="32"/>
          <w:lang w:val="ru-RU"/>
        </w:rPr>
        <w:t>«</w:t>
      </w:r>
      <w:r w:rsidR="00DF5CD9" w:rsidRPr="00DF5CD9">
        <w:rPr>
          <w:rFonts w:asciiTheme="minorHAnsi" w:hAnsiTheme="minorHAnsi"/>
          <w:b/>
          <w:sz w:val="32"/>
          <w:szCs w:val="32"/>
          <w:lang w:val="ru-RU"/>
        </w:rPr>
        <w:t>Роль идеологии в современной России</w:t>
      </w:r>
      <w:r w:rsidRPr="007D379D">
        <w:rPr>
          <w:rFonts w:asciiTheme="minorHAnsi" w:hAnsiTheme="minorHAnsi"/>
          <w:b/>
          <w:sz w:val="32"/>
          <w:szCs w:val="32"/>
          <w:lang w:val="ru-RU"/>
        </w:rPr>
        <w:t>»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03412D">
        <w:rPr>
          <w:rFonts w:asciiTheme="minorHAnsi" w:hAnsiTheme="minorHAnsi" w:cs="Arial"/>
          <w:sz w:val="28"/>
          <w:szCs w:val="28"/>
          <w:lang w:val="ru-RU"/>
        </w:rPr>
        <w:t>2</w:t>
      </w:r>
      <w:r w:rsidR="00DF5CD9">
        <w:rPr>
          <w:rFonts w:asciiTheme="minorHAnsi" w:hAnsiTheme="minorHAnsi" w:cs="Arial"/>
          <w:sz w:val="28"/>
          <w:szCs w:val="28"/>
          <w:lang w:val="ru-RU"/>
        </w:rPr>
        <w:t>1</w:t>
      </w:r>
      <w:r w:rsidR="007D37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F5CD9">
        <w:rPr>
          <w:rFonts w:asciiTheme="minorHAnsi" w:hAnsiTheme="minorHAnsi" w:cs="Arial"/>
          <w:sz w:val="28"/>
          <w:szCs w:val="28"/>
          <w:lang w:val="ru-RU"/>
        </w:rPr>
        <w:t>февраля 2019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3"/>
    <w:multiLevelType w:val="hybridMultilevel"/>
    <w:tmpl w:val="82322E58"/>
    <w:lvl w:ilvl="0" w:tplc="120240F0">
      <w:start w:val="6"/>
      <w:numFmt w:val="decimal"/>
      <w:lvlText w:val="%1."/>
      <w:lvlJc w:val="left"/>
      <w:pPr>
        <w:ind w:left="38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2837EA1"/>
    <w:multiLevelType w:val="hybridMultilevel"/>
    <w:tmpl w:val="2F762E08"/>
    <w:lvl w:ilvl="0" w:tplc="8EBAED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CB9"/>
    <w:multiLevelType w:val="hybridMultilevel"/>
    <w:tmpl w:val="8E0626D8"/>
    <w:lvl w:ilvl="0" w:tplc="120240F0">
      <w:start w:val="6"/>
      <w:numFmt w:val="decimal"/>
      <w:lvlText w:val="%1."/>
      <w:lvlJc w:val="left"/>
      <w:pPr>
        <w:ind w:left="30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24448AD"/>
    <w:multiLevelType w:val="hybridMultilevel"/>
    <w:tmpl w:val="BBB22032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4C48"/>
    <w:multiLevelType w:val="hybridMultilevel"/>
    <w:tmpl w:val="43988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D26C8B"/>
    <w:multiLevelType w:val="hybridMultilevel"/>
    <w:tmpl w:val="0EDE9CE4"/>
    <w:lvl w:ilvl="0" w:tplc="5C326AE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16AB5"/>
    <w:multiLevelType w:val="hybridMultilevel"/>
    <w:tmpl w:val="96D025DA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3412D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27B9D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5E4E45"/>
    <w:rsid w:val="00662E0E"/>
    <w:rsid w:val="0066556C"/>
    <w:rsid w:val="00670B34"/>
    <w:rsid w:val="00674BC7"/>
    <w:rsid w:val="006A3360"/>
    <w:rsid w:val="006B7BA3"/>
    <w:rsid w:val="006B7EBF"/>
    <w:rsid w:val="006C1495"/>
    <w:rsid w:val="006E100B"/>
    <w:rsid w:val="006E5325"/>
    <w:rsid w:val="00737FA5"/>
    <w:rsid w:val="007666FB"/>
    <w:rsid w:val="007A5908"/>
    <w:rsid w:val="007D379D"/>
    <w:rsid w:val="0080720A"/>
    <w:rsid w:val="008B2021"/>
    <w:rsid w:val="008D0886"/>
    <w:rsid w:val="009970F1"/>
    <w:rsid w:val="009E375C"/>
    <w:rsid w:val="00A00315"/>
    <w:rsid w:val="00A05EF3"/>
    <w:rsid w:val="00A10DCB"/>
    <w:rsid w:val="00A12BF9"/>
    <w:rsid w:val="00A206EB"/>
    <w:rsid w:val="00A96707"/>
    <w:rsid w:val="00AE3DC4"/>
    <w:rsid w:val="00B14726"/>
    <w:rsid w:val="00B27C9C"/>
    <w:rsid w:val="00B54151"/>
    <w:rsid w:val="00B57A2E"/>
    <w:rsid w:val="00B75FFF"/>
    <w:rsid w:val="00B9537A"/>
    <w:rsid w:val="00BC33D5"/>
    <w:rsid w:val="00C027B5"/>
    <w:rsid w:val="00C100E4"/>
    <w:rsid w:val="00C15CAB"/>
    <w:rsid w:val="00C3743E"/>
    <w:rsid w:val="00C76DA1"/>
    <w:rsid w:val="00CA73A5"/>
    <w:rsid w:val="00CC4730"/>
    <w:rsid w:val="00CE3B8E"/>
    <w:rsid w:val="00CF629C"/>
    <w:rsid w:val="00D253EB"/>
    <w:rsid w:val="00D61769"/>
    <w:rsid w:val="00DC2757"/>
    <w:rsid w:val="00DE71F3"/>
    <w:rsid w:val="00DF5CD9"/>
    <w:rsid w:val="00E16E9A"/>
    <w:rsid w:val="00E44ED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5</cp:revision>
  <cp:lastPrinted>2019-02-21T08:41:00Z</cp:lastPrinted>
  <dcterms:created xsi:type="dcterms:W3CDTF">2015-12-11T09:14:00Z</dcterms:created>
  <dcterms:modified xsi:type="dcterms:W3CDTF">2019-02-21T08:45:00Z</dcterms:modified>
</cp:coreProperties>
</file>